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</w:t>
      </w: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проживающее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proofErr w:type="spellStart"/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proofErr w:type="spellStart"/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Pr="00C62B0E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proofErr w:type="spellStart"/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Pr="00C62B0E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и более на работу по контрактам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населении  обходили все помещения своего счетного участка, где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proofErr w:type="gramStart"/>
      <w:r w:rsidR="000D7334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остоянное население). Только в таблице 1 тома 1 и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в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351B4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spellStart"/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</w:p>
    <w:p w:rsidR="007C3FB4" w:rsidRPr="007C3FB4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</w:t>
      </w:r>
      <w:proofErr w:type="gramStart"/>
      <w:r w:rsidRPr="007C3FB4">
        <w:rPr>
          <w:rFonts w:ascii="Times New Roman" w:hAnsi="Times New Roman" w:cs="Times New Roman"/>
          <w:b/>
          <w:sz w:val="28"/>
          <w:szCs w:val="28"/>
        </w:rPr>
        <w:t>дств к с</w:t>
      </w:r>
      <w:proofErr w:type="gramEnd"/>
      <w:r w:rsidRPr="007C3FB4">
        <w:rPr>
          <w:rFonts w:ascii="Times New Roman" w:hAnsi="Times New Roman" w:cs="Times New Roman"/>
          <w:b/>
          <w:sz w:val="28"/>
          <w:szCs w:val="28"/>
        </w:rPr>
        <w:t>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</w:t>
      </w:r>
      <w:proofErr w:type="gramStart"/>
      <w:r w:rsidRPr="007C3FB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7C3FB4">
        <w:rPr>
          <w:rFonts w:ascii="Times New Roman" w:hAnsi="Times New Roman" w:cs="Times New Roman"/>
          <w:sz w:val="28"/>
          <w:szCs w:val="28"/>
        </w:rPr>
        <w:t>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</w:t>
      </w:r>
      <w:proofErr w:type="gramStart"/>
      <w:r w:rsidR="007C3FB4" w:rsidRPr="006B1C3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7C3FB4" w:rsidRPr="006B1C39">
        <w:rPr>
          <w:rFonts w:ascii="Times New Roman" w:hAnsi="Times New Roman" w:cs="Times New Roman"/>
          <w:sz w:val="28"/>
          <w:szCs w:val="28"/>
        </w:rPr>
        <w:t>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</w:t>
      </w:r>
      <w:proofErr w:type="gramStart"/>
      <w:r w:rsidR="007C3FB4" w:rsidRPr="006B1C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редпринимательский доход, </w:t>
      </w:r>
      <w:proofErr w:type="spellStart"/>
      <w:r w:rsidR="007C3FB4" w:rsidRPr="006B1C39">
        <w:rPr>
          <w:rFonts w:ascii="Times New Roman" w:hAnsi="Times New Roman" w:cs="Times New Roman"/>
          <w:i/>
          <w:sz w:val="28"/>
          <w:szCs w:val="28"/>
        </w:rPr>
        <w:t>самозанятость</w:t>
      </w:r>
      <w:proofErr w:type="spellEnd"/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</w:t>
      </w:r>
      <w:proofErr w:type="gramEnd"/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</w:t>
      </w:r>
      <w:proofErr w:type="spellStart"/>
      <w:r w:rsidR="007C3FB4" w:rsidRPr="006B1C3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C3FB4" w:rsidRPr="006B1C39">
        <w:rPr>
          <w:rFonts w:ascii="Times New Roman" w:hAnsi="Times New Roman" w:cs="Times New Roman"/>
          <w:sz w:val="28"/>
          <w:szCs w:val="28"/>
        </w:rPr>
        <w:t xml:space="preserve">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lastRenderedPageBreak/>
        <w:t xml:space="preserve">и без наемных </w:t>
      </w:r>
      <w:proofErr w:type="spellStart"/>
      <w:r w:rsidR="007C3FB4" w:rsidRPr="006B1C39">
        <w:rPr>
          <w:rFonts w:ascii="Times New Roman" w:hAnsi="Times New Roman" w:cs="Times New Roman"/>
          <w:sz w:val="28"/>
          <w:szCs w:val="28"/>
        </w:rPr>
        <w:t>работников</w:t>
      </w:r>
      <w:proofErr w:type="gramStart"/>
      <w:r w:rsidR="007C3FB4" w:rsidRPr="006B1C3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7C3FB4" w:rsidRPr="006B1C39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оход от использования </w:t>
      </w:r>
      <w:proofErr w:type="spellStart"/>
      <w:r w:rsidR="007C3FB4" w:rsidRPr="006B1C39">
        <w:rPr>
          <w:rFonts w:ascii="Times New Roman" w:hAnsi="Times New Roman" w:cs="Times New Roman"/>
          <w:sz w:val="28"/>
          <w:szCs w:val="28"/>
        </w:rPr>
        <w:t>имуществане</w:t>
      </w:r>
      <w:proofErr w:type="spellEnd"/>
      <w:r w:rsidR="007C3FB4" w:rsidRPr="006B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</w:t>
      </w:r>
      <w:proofErr w:type="gramEnd"/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</w:t>
      </w:r>
      <w:proofErr w:type="gramStart"/>
      <w:r w:rsidR="007C3FB4" w:rsidRPr="006B1C3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C3FB4" w:rsidRPr="006B1C39">
        <w:rPr>
          <w:rFonts w:ascii="Times New Roman" w:hAnsi="Times New Roman" w:cs="Times New Roman"/>
          <w:sz w:val="28"/>
          <w:szCs w:val="28"/>
        </w:rPr>
        <w:t>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C3FB4" w:rsidRPr="006B1C39">
        <w:rPr>
          <w:rFonts w:ascii="Times New Roman" w:hAnsi="Times New Roman" w:cs="Times New Roman"/>
          <w:sz w:val="28"/>
          <w:szCs w:val="28"/>
        </w:rPr>
        <w:t>постарости</w:t>
      </w:r>
      <w:proofErr w:type="spellEnd"/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B4" w:rsidRPr="006B1C39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</w:t>
      </w:r>
      <w:r w:rsidR="007C3FB4" w:rsidRPr="003541B1">
        <w:rPr>
          <w:rFonts w:ascii="Times New Roman" w:hAnsi="Times New Roman" w:cs="Times New Roman"/>
          <w:sz w:val="28"/>
          <w:szCs w:val="28"/>
        </w:rPr>
        <w:lastRenderedPageBreak/>
        <w:t>региональные пособия и выплаты в связи с рождением ребенка (в том числе молодым семьям, малообеспеченным семьям  и т.п.)</w:t>
      </w:r>
      <w:proofErr w:type="gramStart"/>
      <w:r w:rsidR="007C3FB4" w:rsidRPr="003541B1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7C3FB4" w:rsidRPr="003541B1">
        <w:rPr>
          <w:rFonts w:ascii="Times New Roman" w:hAnsi="Times New Roman" w:cs="Times New Roman"/>
          <w:sz w:val="28"/>
          <w:szCs w:val="28"/>
        </w:rPr>
        <w:t xml:space="preserve">ыплаты и пособия 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контракту, проживающим вместе с мужьями (женами) в местностях, где они не могут трудиться по специальности из-за отсутствия возможности </w:t>
      </w:r>
      <w:proofErr w:type="spellStart"/>
      <w:r w:rsidR="007C3FB4" w:rsidRPr="003541B1">
        <w:rPr>
          <w:rFonts w:ascii="Times New Roman" w:hAnsi="Times New Roman" w:cs="Times New Roman"/>
          <w:sz w:val="28"/>
          <w:szCs w:val="28"/>
        </w:rPr>
        <w:t>трудоустройства</w:t>
      </w:r>
      <w:proofErr w:type="gramStart"/>
      <w:r w:rsidR="007C3FB4" w:rsidRPr="003541B1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="007C3FB4" w:rsidRPr="003541B1">
        <w:rPr>
          <w:rFonts w:ascii="Times New Roman" w:hAnsi="Times New Roman" w:cs="Times New Roman"/>
          <w:sz w:val="28"/>
          <w:szCs w:val="28"/>
        </w:rPr>
        <w:t>атеринский</w:t>
      </w:r>
      <w:proofErr w:type="spellEnd"/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инвалидов, и т.п. лицам, находящимся на обеспечении </w:t>
      </w:r>
      <w:proofErr w:type="spellStart"/>
      <w:r w:rsidR="007C3FB4" w:rsidRPr="003541B1">
        <w:rPr>
          <w:rFonts w:ascii="Times New Roman" w:hAnsi="Times New Roman" w:cs="Times New Roman"/>
          <w:sz w:val="28"/>
          <w:szCs w:val="28"/>
        </w:rPr>
        <w:t>государства</w:t>
      </w:r>
      <w:proofErr w:type="gramStart"/>
      <w:r w:rsidR="007C3FB4" w:rsidRPr="003541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C3FB4" w:rsidRPr="003541B1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="007C3FB4" w:rsidRPr="003541B1">
        <w:rPr>
          <w:rFonts w:ascii="Times New Roman" w:hAnsi="Times New Roman" w:cs="Times New Roman"/>
          <w:sz w:val="28"/>
          <w:szCs w:val="28"/>
        </w:rPr>
        <w:t xml:space="preserve">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proofErr w:type="gramEnd"/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а также аспирантам, обучающимся с отрывом от </w:t>
      </w:r>
      <w:proofErr w:type="spellStart"/>
      <w:r w:rsidR="007C3FB4" w:rsidRPr="003541B1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Start"/>
      <w:r w:rsidR="007C3FB4" w:rsidRPr="003541B1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7C3FB4" w:rsidRPr="003541B1">
        <w:rPr>
          <w:rFonts w:ascii="Times New Roman" w:hAnsi="Times New Roman" w:cs="Times New Roman"/>
          <w:sz w:val="28"/>
          <w:szCs w:val="28"/>
        </w:rPr>
        <w:t>олучающим</w:t>
      </w:r>
      <w:proofErr w:type="spellEnd"/>
      <w:r w:rsidR="007C3FB4" w:rsidRPr="003541B1">
        <w:rPr>
          <w:rFonts w:ascii="Times New Roman" w:hAnsi="Times New Roman" w:cs="Times New Roman"/>
          <w:sz w:val="28"/>
          <w:szCs w:val="28"/>
        </w:rPr>
        <w:t xml:space="preserve"> субсидии на оплату жилого помещения и коммунальных услуг;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 дошкольной образовательной </w:t>
      </w:r>
      <w:proofErr w:type="spellStart"/>
      <w:r w:rsidR="007C3FB4" w:rsidRPr="003541B1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="007C3FB4" w:rsidRPr="003541B1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="007C3FB4" w:rsidRPr="003541B1">
        <w:rPr>
          <w:rFonts w:ascii="Times New Roman" w:hAnsi="Times New Roman" w:cs="Times New Roman"/>
          <w:sz w:val="28"/>
          <w:szCs w:val="28"/>
        </w:rPr>
        <w:t>меющим</w:t>
      </w:r>
      <w:proofErr w:type="spellEnd"/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меющим страховые возмещения, выплачиваемые страховыми компаниями при наступлении страхового </w:t>
      </w:r>
      <w:proofErr w:type="spellStart"/>
      <w:r w:rsidR="007C3FB4" w:rsidRPr="003541B1">
        <w:rPr>
          <w:rFonts w:ascii="Times New Roman" w:hAnsi="Times New Roman" w:cs="Times New Roman"/>
          <w:sz w:val="28"/>
          <w:szCs w:val="28"/>
        </w:rPr>
        <w:t>случая;имеющим</w:t>
      </w:r>
      <w:proofErr w:type="spellEnd"/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возвращенный налог на доходы физических лиц (имущественные вычеты, на медицинские услуги, на образование);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3541B1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  <w:proofErr w:type="gramEnd"/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>ивущим на средства родителей, супруг</w:t>
      </w:r>
      <w:proofErr w:type="gramStart"/>
      <w:r w:rsidR="007C3FB4" w:rsidRPr="003541B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и), детей,  других родственников или других лиц, а также тем, на кого выплачиваются алименты. </w:t>
      </w:r>
    </w:p>
    <w:p w:rsidR="0056783E" w:rsidRPr="003541B1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>ся тем, у кого источником сре</w:t>
      </w:r>
      <w:proofErr w:type="gramStart"/>
      <w:r w:rsidR="007C3FB4" w:rsidRPr="003541B1">
        <w:rPr>
          <w:rFonts w:ascii="Times New Roman" w:hAnsi="Times New Roman" w:cs="Times New Roman"/>
          <w:sz w:val="28"/>
          <w:szCs w:val="28"/>
        </w:rPr>
        <w:t xml:space="preserve">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="007C3FB4" w:rsidRPr="003541B1">
        <w:rPr>
          <w:rFonts w:ascii="Times New Roman" w:hAnsi="Times New Roman" w:cs="Times New Roman"/>
          <w:sz w:val="28"/>
          <w:szCs w:val="28"/>
        </w:rPr>
        <w:t xml:space="preserve">уществованию является что-то иное, не перечисленное выше (например, попрошайничество).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1 и 2 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у населения источниках сре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уществованию. При переписи </w:t>
      </w:r>
      <w:r w:rsidR="00A81D6A">
        <w:rPr>
          <w:rFonts w:ascii="Times New Roman" w:hAnsi="Times New Roman" w:cs="Times New Roman"/>
          <w:sz w:val="28"/>
          <w:szCs w:val="28"/>
        </w:rPr>
        <w:t>9%</w:t>
      </w:r>
      <w:r w:rsidRPr="003541B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81D6A">
        <w:rPr>
          <w:rFonts w:ascii="Times New Roman" w:hAnsi="Times New Roman" w:cs="Times New Roman"/>
          <w:sz w:val="28"/>
          <w:szCs w:val="28"/>
        </w:rPr>
        <w:t>указали</w:t>
      </w:r>
      <w:r w:rsidR="009806B2">
        <w:rPr>
          <w:rFonts w:ascii="Times New Roman" w:hAnsi="Times New Roman" w:cs="Times New Roman"/>
          <w:sz w:val="28"/>
          <w:szCs w:val="28"/>
        </w:rPr>
        <w:t xml:space="preserve"> </w:t>
      </w:r>
      <w:r w:rsidR="00A81D6A">
        <w:rPr>
          <w:rFonts w:ascii="Times New Roman" w:hAnsi="Times New Roman" w:cs="Times New Roman"/>
          <w:sz w:val="28"/>
          <w:szCs w:val="28"/>
        </w:rPr>
        <w:t>больше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 w:rsidR="00A81D6A">
        <w:rPr>
          <w:rFonts w:ascii="Times New Roman" w:hAnsi="Times New Roman" w:cs="Times New Roman"/>
          <w:sz w:val="28"/>
          <w:szCs w:val="28"/>
        </w:rPr>
        <w:t>ого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81D6A">
        <w:rPr>
          <w:rFonts w:ascii="Times New Roman" w:hAnsi="Times New Roman" w:cs="Times New Roman"/>
          <w:sz w:val="28"/>
          <w:szCs w:val="28"/>
        </w:rPr>
        <w:t>а</w:t>
      </w:r>
      <w:r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 w:rsidR="00A81D6A">
        <w:rPr>
          <w:rFonts w:ascii="Times New Roman" w:hAnsi="Times New Roman" w:cs="Times New Roman"/>
          <w:sz w:val="28"/>
          <w:szCs w:val="28"/>
        </w:rPr>
        <w:t>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3</w:t>
      </w:r>
      <w:r w:rsidR="003541B1">
        <w:rPr>
          <w:rFonts w:ascii="Times New Roman" w:hAnsi="Times New Roman" w:cs="Times New Roman"/>
          <w:sz w:val="28"/>
          <w:szCs w:val="28"/>
        </w:rPr>
        <w:t xml:space="preserve"> и 4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>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«Какой из отмеченных источников Вы считаете для себя основным?» </w:t>
      </w:r>
      <w:r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таблицах приводятся данные по укрупненным возрастным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D0732" w:rsidRPr="00A72CA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D0732" w:rsidRPr="00A72CA1">
        <w:rPr>
          <w:rFonts w:ascii="Times New Roman" w:hAnsi="Times New Roman" w:cs="Times New Roman"/>
          <w:sz w:val="28"/>
          <w:szCs w:val="28"/>
        </w:rPr>
        <w:t>оложе</w:t>
      </w:r>
      <w:proofErr w:type="spellEnd"/>
      <w:r w:rsidR="007D0732" w:rsidRPr="00A72CA1">
        <w:rPr>
          <w:rFonts w:ascii="Times New Roman" w:hAnsi="Times New Roman" w:cs="Times New Roman"/>
          <w:sz w:val="28"/>
          <w:szCs w:val="28"/>
        </w:rPr>
        <w:t xml:space="preserve">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732" w:rsidRPr="00A72CA1">
        <w:rPr>
          <w:rFonts w:ascii="Times New Roman" w:hAnsi="Times New Roman" w:cs="Times New Roman"/>
          <w:sz w:val="28"/>
          <w:szCs w:val="28"/>
        </w:rPr>
        <w:t>детии</w:t>
      </w:r>
      <w:proofErr w:type="spellEnd"/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4B" w:rsidRDefault="00AC1F4B" w:rsidP="0059770F">
      <w:pPr>
        <w:spacing w:after="0" w:line="240" w:lineRule="auto"/>
      </w:pPr>
      <w:r>
        <w:separator/>
      </w:r>
    </w:p>
  </w:endnote>
  <w:endnote w:type="continuationSeparator" w:id="1">
    <w:p w:rsidR="00AC1F4B" w:rsidRDefault="00AC1F4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4B" w:rsidRDefault="00AC1F4B" w:rsidP="0059770F">
      <w:pPr>
        <w:spacing w:after="0" w:line="240" w:lineRule="auto"/>
      </w:pPr>
      <w:r>
        <w:separator/>
      </w:r>
    </w:p>
  </w:footnote>
  <w:footnote w:type="continuationSeparator" w:id="1">
    <w:p w:rsidR="00AC1F4B" w:rsidRDefault="00AC1F4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E14697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9806B2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0015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806B2"/>
    <w:rsid w:val="009A5A42"/>
    <w:rsid w:val="009A5D78"/>
    <w:rsid w:val="009B7E26"/>
    <w:rsid w:val="009C76CA"/>
    <w:rsid w:val="009D18D9"/>
    <w:rsid w:val="009D6AEB"/>
    <w:rsid w:val="009F774C"/>
    <w:rsid w:val="00A269A5"/>
    <w:rsid w:val="00A5719B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14697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0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0015D"/>
    <w:rPr>
      <w:rFonts w:ascii="Tahoma" w:hAnsi="Tahoma" w:cs="Tahoma"/>
      <w:sz w:val="16"/>
      <w:szCs w:val="16"/>
    </w:rPr>
  </w:style>
  <w:style w:type="character" w:customStyle="1" w:styleId="A20">
    <w:name w:val="A2"/>
    <w:rsid w:val="0030015D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30015D"/>
    <w:rPr>
      <w:sz w:val="16"/>
      <w:szCs w:val="16"/>
    </w:rPr>
  </w:style>
  <w:style w:type="paragraph" w:styleId="a6">
    <w:name w:val="annotation text"/>
    <w:basedOn w:val="a"/>
    <w:link w:val="a7"/>
    <w:rsid w:val="0030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300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9B1F-0D29-4FFD-BCFA-67631DBD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P46_MinenkovaNE</cp:lastModifiedBy>
  <cp:revision>3</cp:revision>
  <cp:lastPrinted>2022-11-30T08:09:00Z</cp:lastPrinted>
  <dcterms:created xsi:type="dcterms:W3CDTF">2022-12-07T12:53:00Z</dcterms:created>
  <dcterms:modified xsi:type="dcterms:W3CDTF">2022-12-07T12:58:00Z</dcterms:modified>
</cp:coreProperties>
</file>